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2FE88" w14:textId="68DD6078" w:rsidR="00216245" w:rsidRPr="004D39F8" w:rsidRDefault="00D32D0F" w:rsidP="00CB55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9F8">
        <w:rPr>
          <w:rFonts w:ascii="Times New Roman" w:hAnsi="Times New Roman" w:cs="Times New Roman"/>
          <w:b/>
          <w:bCs/>
          <w:sz w:val="28"/>
          <w:szCs w:val="28"/>
        </w:rPr>
        <w:t>PERLINDUNGAN ANAK</w:t>
      </w:r>
    </w:p>
    <w:p w14:paraId="3AD9FBB1" w14:textId="57997CEE" w:rsidR="00A31CA4" w:rsidRPr="004D39F8" w:rsidRDefault="00A31CA4" w:rsidP="00CB55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</w:t>
      </w:r>
    </w:p>
    <w:p w14:paraId="03A32B0D" w14:textId="77777777" w:rsidR="00CB55A6" w:rsidRPr="004D39F8" w:rsidRDefault="00CB55A6" w:rsidP="00CB55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F40BB" w14:textId="200C5E2F" w:rsidR="002E60BD" w:rsidRPr="004D39F8" w:rsidRDefault="002E60BD" w:rsidP="00CB55A6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</w:p>
    <w:p w14:paraId="710A6711" w14:textId="332685B2" w:rsidR="00A31CA4" w:rsidRPr="004D39F8" w:rsidRDefault="002E60BD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Pasal 1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(1), </w:t>
      </w:r>
      <w:r w:rsidR="00181E70" w:rsidRPr="004D39F8">
        <w:rPr>
          <w:rFonts w:ascii="Times New Roman" w:hAnsi="Times New Roman" w:cs="Times New Roman"/>
          <w:b/>
          <w:bCs/>
          <w:sz w:val="24"/>
          <w:szCs w:val="24"/>
        </w:rPr>
        <w:t>Anak</w:t>
      </w:r>
      <w:r w:rsidR="00181E70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18 (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09021" w14:textId="77777777" w:rsidR="00A31CA4" w:rsidRPr="004D39F8" w:rsidRDefault="00A31CA4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E913E6" w14:textId="4249F131" w:rsidR="00A31CA4" w:rsidRPr="004D39F8" w:rsidRDefault="00A31CA4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dankebebasan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dilenyapkan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Hak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HAM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Hukum Nasional.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unversal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i/>
          <w:iCs/>
          <w:sz w:val="24"/>
          <w:szCs w:val="24"/>
        </w:rPr>
        <w:t>Universal Declaration of Human Rights</w:t>
      </w:r>
      <w:r w:rsidRPr="004D39F8">
        <w:rPr>
          <w:rFonts w:ascii="Times New Roman" w:hAnsi="Times New Roman" w:cs="Times New Roman"/>
          <w:sz w:val="24"/>
          <w:szCs w:val="24"/>
        </w:rPr>
        <w:t xml:space="preserve"> (UDHR) dan </w:t>
      </w:r>
      <w:r w:rsidRPr="004D39F8">
        <w:rPr>
          <w:rFonts w:ascii="Times New Roman" w:hAnsi="Times New Roman" w:cs="Times New Roman"/>
          <w:i/>
          <w:iCs/>
          <w:sz w:val="24"/>
          <w:szCs w:val="24"/>
        </w:rPr>
        <w:t>International on Civil and Political Rights</w:t>
      </w:r>
      <w:r w:rsidRPr="004D39F8">
        <w:rPr>
          <w:rFonts w:ascii="Times New Roman" w:hAnsi="Times New Roman" w:cs="Times New Roman"/>
          <w:sz w:val="24"/>
          <w:szCs w:val="24"/>
        </w:rPr>
        <w:t xml:space="preserve"> (ICPR).</w:t>
      </w:r>
    </w:p>
    <w:p w14:paraId="02D6C2FF" w14:textId="77777777" w:rsidR="00A31CA4" w:rsidRPr="004D39F8" w:rsidRDefault="00A31CA4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EC5AE10" w14:textId="4EB648A8" w:rsidR="002E60BD" w:rsidRPr="004D39F8" w:rsidRDefault="002E60BD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Pasal 1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Anak</w:t>
      </w:r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5A6" w:rsidRPr="004D39F8">
        <w:rPr>
          <w:rFonts w:ascii="Times New Roman" w:hAnsi="Times New Roman" w:cs="Times New Roman"/>
          <w:sz w:val="24"/>
          <w:szCs w:val="24"/>
        </w:rPr>
        <w:t>a</w:t>
      </w:r>
      <w:r w:rsidRPr="004D39F8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2385E0E2" w14:textId="05AC04C2" w:rsidR="00A31CA4" w:rsidRPr="004D39F8" w:rsidRDefault="00A31CA4" w:rsidP="00CB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7A343" w14:textId="4EF2AA5C" w:rsidR="00CB55A6" w:rsidRDefault="00A31CA4" w:rsidP="00CB55A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Kekhususan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dunia,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</w:t>
      </w:r>
      <w:r w:rsidRPr="004D39F8">
        <w:rPr>
          <w:rFonts w:ascii="Times New Roman" w:hAnsi="Times New Roman" w:cs="Times New Roman"/>
          <w:i/>
          <w:iCs/>
          <w:sz w:val="24"/>
          <w:szCs w:val="24"/>
        </w:rPr>
        <w:t>fundamental rights and freedoms of children</w:t>
      </w:r>
      <w:r w:rsidRPr="004D39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CB55A6" w:rsidRPr="004D39F8">
        <w:rPr>
          <w:rFonts w:ascii="Times New Roman" w:hAnsi="Times New Roman" w:cs="Times New Roman"/>
          <w:sz w:val="24"/>
          <w:szCs w:val="24"/>
        </w:rPr>
        <w:t>.</w:t>
      </w:r>
    </w:p>
    <w:p w14:paraId="02F4A66F" w14:textId="77777777" w:rsidR="00D62BA3" w:rsidRPr="004D39F8" w:rsidRDefault="00D62BA3" w:rsidP="00D62BA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BBA364" w14:textId="14E5872B" w:rsidR="00154FF3" w:rsidRPr="004D39F8" w:rsidRDefault="002E60BD" w:rsidP="00CB55A6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</w:rPr>
        <w:t>Dasar Hukum</w:t>
      </w:r>
    </w:p>
    <w:p w14:paraId="46F54847" w14:textId="371F937F" w:rsidR="00D67E9A" w:rsidRPr="004D39F8" w:rsidRDefault="00D67E9A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>KUHP</w:t>
      </w:r>
    </w:p>
    <w:p w14:paraId="4ABE355B" w14:textId="3CE92C0F" w:rsidR="00D67E9A" w:rsidRPr="004D39F8" w:rsidRDefault="00D67E9A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>Undang-Undang Nomor 23 Tahun 2002 Tentang Perlindungan Anak</w:t>
      </w:r>
    </w:p>
    <w:p w14:paraId="73222CCD" w14:textId="3A0E057C" w:rsidR="00D32D0F" w:rsidRPr="004D39F8" w:rsidRDefault="00154FF3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2014</w:t>
      </w:r>
      <w:r w:rsidR="00A47FC7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C7"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A47FC7" w:rsidRPr="004D39F8">
        <w:rPr>
          <w:rFonts w:ascii="Times New Roman" w:hAnsi="Times New Roman" w:cs="Times New Roman"/>
          <w:sz w:val="24"/>
          <w:szCs w:val="24"/>
        </w:rPr>
        <w:t xml:space="preserve"> Anak</w:t>
      </w:r>
    </w:p>
    <w:p w14:paraId="128C7FDB" w14:textId="65E043F6" w:rsidR="002E60BD" w:rsidRPr="004D39F8" w:rsidRDefault="002E60BD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>UU Nomor 11 Tahun 2012 Tentang Sistem Peradilan Pidana Anak</w:t>
      </w:r>
    </w:p>
    <w:p w14:paraId="3B46107F" w14:textId="53FC516E" w:rsidR="00D67E9A" w:rsidRPr="004D39F8" w:rsidRDefault="00D67E9A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>Peraturan Pemerintah Pengganti Undang-Undang (Perpu) Nomor 1 Tahun 2016 tentang Perubahan Kedua atas Undang-Undang Nomor 23 Tahun 2002 tentang Perlindungan Anak</w:t>
      </w:r>
    </w:p>
    <w:p w14:paraId="13BDAF8D" w14:textId="3E431F51" w:rsidR="002E60BD" w:rsidRPr="004D39F8" w:rsidRDefault="002E60BD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UU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2022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Tindak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Pidana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</w:p>
    <w:p w14:paraId="1BA7B6ED" w14:textId="605C2AD1" w:rsidR="00663F73" w:rsidRPr="004D39F8" w:rsidRDefault="002E60BD" w:rsidP="00CB55A6">
      <w:pPr>
        <w:pStyle w:val="ListParagraph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>UU Nomor 1 Tahun 2023 tentang KUHP</w:t>
      </w:r>
      <w:r w:rsidR="00CB55A6" w:rsidRPr="004D39F8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124D0600" w14:textId="77777777" w:rsidR="00CB55A6" w:rsidRPr="004D39F8" w:rsidRDefault="00CB55A6" w:rsidP="00D62BA3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1B59A79" w14:textId="5F30C10A" w:rsidR="008B4E16" w:rsidRPr="004D39F8" w:rsidRDefault="008B4E16" w:rsidP="00CB55A6">
      <w:pPr>
        <w:pStyle w:val="ListParagraph"/>
        <w:numPr>
          <w:ilvl w:val="0"/>
          <w:numId w:val="28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sv-SE"/>
        </w:rPr>
        <w:t>Maksud Perlindungan Terhadap Anak Melalui UU Perlindungan Anak</w:t>
      </w:r>
    </w:p>
    <w:p w14:paraId="4C5285FD" w14:textId="308A1649" w:rsidR="008B4E16" w:rsidRPr="004D39F8" w:rsidRDefault="008B4E16" w:rsidP="00CB55A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>Hidup, tumbuh, berkembang &amp; berpartisipasi secara Optimal sesuai dengan harkat &amp; martabat kemanusiaan</w:t>
      </w:r>
      <w:r w:rsidRPr="008B4E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 Untuk menjamin perlindungan terhadap anak dari segala bentuk kekerasan &amp; diskriminasi</w:t>
      </w:r>
      <w:r w:rsidRPr="008B4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FF086F" w14:textId="28FAE8E4" w:rsidR="00790B79" w:rsidRPr="004D39F8" w:rsidRDefault="00181E70" w:rsidP="00D62BA3">
      <w:pPr>
        <w:pStyle w:val="ListParagraph"/>
        <w:numPr>
          <w:ilvl w:val="0"/>
          <w:numId w:val="2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Hak-Hak Anak</w:t>
      </w:r>
    </w:p>
    <w:p w14:paraId="54F92470" w14:textId="06FDE8A1" w:rsidR="00181E70" w:rsidRPr="004D39F8" w:rsidRDefault="00181E70" w:rsidP="00CB55A6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 November 1959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Umum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(PBB)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mensahkan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mukadimah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Deklarasi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Deklarasi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:</w:t>
      </w:r>
    </w:p>
    <w:p w14:paraId="1F74760B" w14:textId="77777777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deklarasi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kaya miskin,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status lain,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7F824" w14:textId="6723BF8B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lain, agar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moral, spiritual,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normal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harkatnya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2690BF" w14:textId="77777777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kelahirannya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DD625" w14:textId="61781322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mental,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A94C5" w14:textId="77777777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10FE6" w14:textId="78A1833C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berpisah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Masyarakat dan </w:t>
      </w:r>
      <w:proofErr w:type="spellStart"/>
      <w:r w:rsidR="00CB55A6"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B55A6"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A747C" w14:textId="2C1A4726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cuma-cuma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sekurang</w:t>
      </w:r>
      <w:r w:rsidRPr="004D39F8">
        <w:rPr>
          <w:rFonts w:ascii="Times New Roman" w:hAnsi="Times New Roman" w:cs="Times New Roman"/>
          <w:sz w:val="24"/>
          <w:szCs w:val="24"/>
        </w:rPr>
        <w:t>-</w:t>
      </w:r>
      <w:r w:rsidRPr="004D39F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96F61" w14:textId="77777777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kealpaan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penghisapan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A0BE6" w14:textId="072840C5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akhlaknya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B599D" w14:textId="58EB6BA9" w:rsidR="00181E70" w:rsidRPr="004D39F8" w:rsidRDefault="00181E70" w:rsidP="00CB55A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lastRenderedPageBreak/>
        <w:t>antar</w:t>
      </w:r>
      <w:proofErr w:type="spellEnd"/>
      <w:r w:rsidR="00663F73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persaudaraan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bakatnya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diabadikan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1153878F" w14:textId="3F15E8B6" w:rsidR="00181E70" w:rsidRPr="004D39F8" w:rsidRDefault="00181E70" w:rsidP="00CB55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A3">
        <w:rPr>
          <w:rFonts w:ascii="Times New Roman" w:hAnsi="Times New Roman" w:cs="Times New Roman"/>
          <w:b/>
          <w:bCs/>
          <w:sz w:val="24"/>
          <w:szCs w:val="24"/>
        </w:rPr>
        <w:t>Hak-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hak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pasal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sampai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pasal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Pr="004D39F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:</w:t>
      </w:r>
    </w:p>
    <w:p w14:paraId="4BAB8541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6210D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status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B4EE0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berekspresi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C0483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dibesarkan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diasuh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582E8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mental, spiritual,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5840E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kecerdasannya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bakatnya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AB615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meyandang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63203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pendapatnya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kecerdasaan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kepatutan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15E19" w14:textId="77777777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beristirahat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waktun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berekreasi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berkreasi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dantingkat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kecerdasannya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0CB20" w14:textId="68B5CC09" w:rsidR="00181E70" w:rsidRPr="004D39F8" w:rsidRDefault="00181E70" w:rsidP="00CB55A6">
      <w:pPr>
        <w:pStyle w:val="ListParagraph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rehabilitas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1B8A0FFE" w14:textId="77777777" w:rsidR="00181E70" w:rsidRPr="004D39F8" w:rsidRDefault="00181E70" w:rsidP="00D62BA3">
      <w:pPr>
        <w:pStyle w:val="ListParagraph"/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A1B84B4" w14:textId="1EABC850" w:rsidR="00D67E9A" w:rsidRPr="004D39F8" w:rsidRDefault="00D67E9A" w:rsidP="00CB55A6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Pihak yang Bertanggung Jawab </w:t>
      </w:r>
    </w:p>
    <w:p w14:paraId="2B770737" w14:textId="583E5B55" w:rsidR="00181E70" w:rsidRPr="004D39F8" w:rsidRDefault="00D67E9A" w:rsidP="00CB55A6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  <w:lang w:val="sv-SE"/>
        </w:rPr>
        <w:t xml:space="preserve">Pihak yang bertanggung jawab dalam perlindungan anak adalah </w:t>
      </w:r>
      <w:r w:rsidR="00610C0C" w:rsidRPr="004D39F8">
        <w:rPr>
          <w:rFonts w:ascii="Times New Roman" w:hAnsi="Times New Roman" w:cs="Times New Roman"/>
          <w:sz w:val="24"/>
          <w:szCs w:val="24"/>
          <w:lang w:val="sv-SE"/>
        </w:rPr>
        <w:t>Negara, Pemerintah, Pemerintah Daerah, Masyarakat, Keluarga, dan Orang Tua atau Wali berkewajiban dan bertanggung jawab terhadap penyelenggaraan Perlindungan Anak</w:t>
      </w:r>
      <w:r w:rsidR="00A31CA4" w:rsidRPr="004D39F8">
        <w:rPr>
          <w:rFonts w:ascii="Times New Roman" w:hAnsi="Times New Roman" w:cs="Times New Roman"/>
          <w:sz w:val="24"/>
          <w:szCs w:val="24"/>
          <w:lang w:val="sv-SE"/>
        </w:rPr>
        <w:t>. (UU Perlindungan Anak)</w:t>
      </w:r>
      <w:r w:rsidR="00181E70" w:rsidRPr="004D39F8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9C9670A" w14:textId="6B42B53A" w:rsidR="00181E70" w:rsidRPr="004D39F8" w:rsidRDefault="00181E70" w:rsidP="00CB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663F73"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Pasal 25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:</w:t>
      </w:r>
    </w:p>
    <w:p w14:paraId="0ACD9C7F" w14:textId="77777777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39F8">
        <w:rPr>
          <w:rFonts w:ascii="Times New Roman" w:hAnsi="Times New Roman" w:cs="Times New Roman"/>
          <w:sz w:val="24"/>
          <w:szCs w:val="24"/>
        </w:rPr>
        <w:t xml:space="preserve">Negara,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Hak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mental. </w:t>
      </w:r>
    </w:p>
    <w:p w14:paraId="25456E5A" w14:textId="77777777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Hak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(1), negara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Hak Anak. </w:t>
      </w:r>
    </w:p>
    <w:p w14:paraId="35A2A000" w14:textId="77777777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Hak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Anak. </w:t>
      </w:r>
    </w:p>
    <w:p w14:paraId="61B18F64" w14:textId="77777777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Hak Anak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 di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A28047" w14:textId="77777777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Anak.</w:t>
      </w:r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F2FD5" w14:textId="4AB37B66" w:rsidR="00F65C8B" w:rsidRPr="004D39F8" w:rsidRDefault="00F65C8B" w:rsidP="00CB55A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</w:t>
      </w:r>
      <w:r w:rsidRPr="004D39F8">
        <w:rPr>
          <w:rFonts w:ascii="Times New Roman" w:hAnsi="Times New Roman" w:cs="Times New Roman"/>
          <w:sz w:val="24"/>
          <w:szCs w:val="24"/>
        </w:rPr>
        <w:t>etentuan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0F36AF7B" w14:textId="77777777" w:rsidR="00CB55A6" w:rsidRPr="004D39F8" w:rsidRDefault="00CB55A6" w:rsidP="00D62BA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1964CF3" w14:textId="73909558" w:rsidR="00F65C8B" w:rsidRPr="004D39F8" w:rsidRDefault="00F65C8B" w:rsidP="00CB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Anak</w:t>
      </w:r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64.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:</w:t>
      </w:r>
    </w:p>
    <w:p w14:paraId="698D388D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umurnya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4B544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63134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5920" w14:textId="12B8C54F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Pemberlakuan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rekreasional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42B4BFE6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penyiksaan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penghukuman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kejam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derajatnya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9DF68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9F8E9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D3893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dimuka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memihak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8F9DA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7E472" w14:textId="792F5ABE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Orang Tua/</w:t>
      </w:r>
      <w:r w:rsidR="00663F73"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</w:rPr>
        <w:t xml:space="preserve">Wali dan orang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oleh Anak. </w:t>
      </w:r>
    </w:p>
    <w:p w14:paraId="2972FFF1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advokasi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C4BBD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04BDC2E3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aksebilitas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Penyandang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disabilitas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4384E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32FDC" w14:textId="77777777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48E2DC79" w14:textId="558CB61C" w:rsidR="00F65C8B" w:rsidRPr="004D39F8" w:rsidRDefault="00F65C8B" w:rsidP="00CB55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2A594C08" w14:textId="77777777" w:rsidR="00CB55A6" w:rsidRPr="004D39F8" w:rsidRDefault="00CB55A6" w:rsidP="00CB55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C9AF042" w14:textId="77777777" w:rsidR="00F65C8B" w:rsidRPr="004D39F8" w:rsidRDefault="00F65C8B" w:rsidP="00CB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Anak yang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dieksploitasi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A9A2F0" w14:textId="77777777" w:rsidR="00F65C8B" w:rsidRPr="004D39F8" w:rsidRDefault="00F65C8B" w:rsidP="00CB55A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Penyebarluasan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dieksploitasi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>.</w:t>
      </w:r>
    </w:p>
    <w:p w14:paraId="1D927364" w14:textId="77777777" w:rsidR="00F65C8B" w:rsidRPr="004D39F8" w:rsidRDefault="00F65C8B" w:rsidP="00CB55A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275D308D" w14:textId="0BEF9124" w:rsidR="00CB55A6" w:rsidRPr="00D62BA3" w:rsidRDefault="00F65C8B" w:rsidP="00D62B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Pelibatan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="008B4E16" w:rsidRPr="004D39F8">
        <w:rPr>
          <w:rFonts w:ascii="Times New Roman" w:hAnsi="Times New Roman" w:cs="Times New Roman"/>
          <w:sz w:val="24"/>
          <w:szCs w:val="24"/>
        </w:rPr>
        <w:t>.</w:t>
      </w:r>
    </w:p>
    <w:p w14:paraId="0C8768F8" w14:textId="77777777" w:rsidR="00D62BA3" w:rsidRDefault="00D62BA3" w:rsidP="00D62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1A87E3A" w14:textId="77777777" w:rsidR="00D62BA3" w:rsidRDefault="00D62BA3" w:rsidP="00D62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5D8EE76" w14:textId="77777777" w:rsidR="00D62BA3" w:rsidRDefault="00D62BA3" w:rsidP="00D62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AB8229F" w14:textId="77777777" w:rsidR="00D62BA3" w:rsidRPr="00D62BA3" w:rsidRDefault="00D62BA3" w:rsidP="00D62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743F610" w14:textId="12B666A1" w:rsidR="008B4E16" w:rsidRPr="004D39F8" w:rsidRDefault="008B4E16" w:rsidP="00CB55A6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Ketentuan Hukum Bagi Anak Sebagai Pelaku Tindak Pidana</w:t>
      </w:r>
    </w:p>
    <w:p w14:paraId="266DAD86" w14:textId="0247424C" w:rsidR="008B4E16" w:rsidRPr="004D39F8" w:rsidRDefault="008B4E16" w:rsidP="00CB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Pasal 80: </w:t>
      </w:r>
      <w:r w:rsidR="00CB55A6"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Penganiayaan </w:t>
      </w:r>
      <w:r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dengan </w:t>
      </w:r>
      <w:r w:rsidR="00CB55A6"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>Korban Anak</w:t>
      </w:r>
    </w:p>
    <w:p w14:paraId="58A6A859" w14:textId="1AB1D22B" w:rsidR="008B4E16" w:rsidRPr="008B4E16" w:rsidRDefault="008B4E16" w:rsidP="00CB55A6">
      <w:pPr>
        <w:pStyle w:val="ListParagraph"/>
        <w:numPr>
          <w:ilvl w:val="1"/>
          <w:numId w:val="18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Setiap Orang yang melanggar ketentuan sebagaimana dimaksud dalam Pasal 76C, dipidana dengan pidana penjara paling lama 3 (tiga) tahun 6 (enam) bulan dan/atau denda paling banyak Rp72.000.000,00 (tujuh puluh dua juta rupiah). </w:t>
      </w:r>
    </w:p>
    <w:p w14:paraId="0C9540CB" w14:textId="5D0419F9" w:rsidR="008B4E16" w:rsidRPr="008B4E16" w:rsidRDefault="008B4E16" w:rsidP="00CB55A6">
      <w:pPr>
        <w:pStyle w:val="ListParagraph"/>
        <w:numPr>
          <w:ilvl w:val="1"/>
          <w:numId w:val="18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Dalam hal Anak sebagaimana dimaksud pada ayat (1) luka berat, maka pelaku dipidana dengan pidana penjara paling lama 5 (lima) tahun dan/atau denda paling banyak Rp100.000.000,00 (seratus juta rupiah). </w:t>
      </w:r>
    </w:p>
    <w:p w14:paraId="54E352C8" w14:textId="016545D2" w:rsidR="008B4E16" w:rsidRPr="008B4E16" w:rsidRDefault="008B4E16" w:rsidP="00CB55A6">
      <w:pPr>
        <w:pStyle w:val="ListParagraph"/>
        <w:numPr>
          <w:ilvl w:val="1"/>
          <w:numId w:val="18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>Dalam hal Anak sebagaimana dimaksud pada ayat (2) mati, maka pelaku dipidana dengan pidana penjara paling lama 15 (lima belas) tahun dan/atau denda paling banyak Rp3.000.000.000,00 (tiga miliar rupiah).</w:t>
      </w:r>
    </w:p>
    <w:p w14:paraId="6927DE3A" w14:textId="7C14EBA2" w:rsidR="00CB55A6" w:rsidRDefault="008B4E16" w:rsidP="00D62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>Pasal 76C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 Setiap Orang dilarang menempatkan, membiarkan, melakukan, menyuruh melakukan, atau turut serta melakukan Kekerasan terhadap Anak.</w:t>
      </w:r>
    </w:p>
    <w:p w14:paraId="33AD51CC" w14:textId="77777777" w:rsidR="0065482E" w:rsidRPr="0065482E" w:rsidRDefault="0065482E" w:rsidP="006548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4DF00C" w14:textId="02C7022E" w:rsidR="008B4E16" w:rsidRPr="008B4E16" w:rsidRDefault="008B4E16" w:rsidP="00CB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Pasal 81: </w:t>
      </w:r>
      <w:r w:rsidR="00CB55A6"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>Persetubuhan Korban Anak</w:t>
      </w:r>
    </w:p>
    <w:p w14:paraId="7BFEDC7D" w14:textId="68B36328" w:rsidR="008B4E16" w:rsidRPr="004D39F8" w:rsidRDefault="008B4E16" w:rsidP="00CB55A6">
      <w:pPr>
        <w:pStyle w:val="ListParagraph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Setiap orang yang melangggar ketentuan sebagaimana dimaksud dalam Pasal 76D dipidana dengan pidana penjara paling singkat 5 (lima) tahun dan paling lama 15 (lima belas) tahun dan denda paling banyak Rp5.000.000.000,00 (lima miliar rupiah). </w:t>
      </w:r>
    </w:p>
    <w:p w14:paraId="7B5DA955" w14:textId="218BC105" w:rsidR="008B4E16" w:rsidRPr="004D39F8" w:rsidRDefault="008B4E16" w:rsidP="00CB55A6">
      <w:pPr>
        <w:pStyle w:val="ListParagraph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Ketentuan pidana sebagaimana dimaksud pada ayat (1) berlaku pula bagi Setiap Orang yang dengan sengaja melakukan tipu muslihat, serangkaian kebohongan, atau membujuk Anak melakukan persetubuhan dengannya atau dengan orang lain. </w:t>
      </w:r>
    </w:p>
    <w:p w14:paraId="533620E2" w14:textId="39B69095" w:rsidR="008B4E16" w:rsidRPr="004D39F8" w:rsidRDefault="008B4E16" w:rsidP="00CB55A6">
      <w:pPr>
        <w:pStyle w:val="ListParagraph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D39F8">
        <w:rPr>
          <w:rFonts w:ascii="Times New Roman" w:hAnsi="Times New Roman" w:cs="Times New Roman"/>
          <w:sz w:val="24"/>
          <w:szCs w:val="24"/>
          <w:lang w:val="id-ID"/>
        </w:rPr>
        <w:t>Dalam hal tindak pidana sebagaimana dimaksud pada ayat (1) dilakukan oleh Orang Tua, Wali, pengasuh Anak, pendidik, atau tenaga kependidikan, maka pidananya ditambah 1/3 (sepertiga) dari ancaman pidana sebagaimana dimaksud pada ayat (1).</w:t>
      </w:r>
    </w:p>
    <w:p w14:paraId="1093BDA4" w14:textId="0EAD118C" w:rsidR="008B4E16" w:rsidRPr="004D39F8" w:rsidRDefault="008B4E16" w:rsidP="00CB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>Pasal 76D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>: Setiap Orang dilarang melakukan Kekerasan atau ancaman Kekerasan memaksa Anak melakukan persetubuhan dengannya atau dengan orang lain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25C8F9B" w14:textId="77777777" w:rsidR="008B4E16" w:rsidRPr="004D39F8" w:rsidRDefault="008B4E16" w:rsidP="00CB55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F0EFF04" w14:textId="0350E131" w:rsidR="008B4E16" w:rsidRPr="008B4E16" w:rsidRDefault="008B4E16" w:rsidP="00CB5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Pasal 82: </w:t>
      </w:r>
      <w:r w:rsidR="00CB55A6"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t>Perbuatan Cabul Terhadap Korban Anak</w:t>
      </w:r>
    </w:p>
    <w:p w14:paraId="6D59F732" w14:textId="77777777" w:rsidR="008B4E16" w:rsidRPr="008B4E16" w:rsidRDefault="008B4E16" w:rsidP="00CB55A6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Setiap orang yang melanggar ketentuan sebagaimana dimaksud dalam Pasal 76E dipidana dengan pidana penjara paling singkat 5 (lima) tahun dan paling lama 15 (lima belas) tahun dan denda paling banyak Rp5.000.000.000,00 (lima miliar rupiah). </w:t>
      </w:r>
    </w:p>
    <w:p w14:paraId="2F6D2297" w14:textId="628E29CD" w:rsidR="008B4E16" w:rsidRPr="004D39F8" w:rsidRDefault="008B4E16" w:rsidP="00CB55A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9F8">
        <w:rPr>
          <w:rFonts w:ascii="Times New Roman" w:hAnsi="Times New Roman" w:cs="Times New Roman"/>
          <w:sz w:val="24"/>
          <w:szCs w:val="24"/>
          <w:lang w:val="id-ID"/>
        </w:rPr>
        <w:t>Dalam hal tindak pidana sebagaimana dimaksud pada ayat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>(1)  dilakukan oleh Orang Tua, Wali, pengasuh Anak,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>pendidik, atau tenaga kependidikan, maka pidananya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 xml:space="preserve">ditambah 1/3 (sepertiga) dari ancaman pidana sebagaimana </w:t>
      </w:r>
      <w:r w:rsidRPr="004D3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9F8">
        <w:rPr>
          <w:rFonts w:ascii="Times New Roman" w:hAnsi="Times New Roman" w:cs="Times New Roman"/>
          <w:sz w:val="24"/>
          <w:szCs w:val="24"/>
          <w:lang w:val="id-ID"/>
        </w:rPr>
        <w:t>dimaksud pada ayat (1).</w:t>
      </w:r>
    </w:p>
    <w:p w14:paraId="4FEEF8D6" w14:textId="3E3D9C02" w:rsidR="0065482E" w:rsidRPr="004D39F8" w:rsidRDefault="008B4E16" w:rsidP="00D62B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E16">
        <w:rPr>
          <w:rFonts w:ascii="Times New Roman" w:hAnsi="Times New Roman" w:cs="Times New Roman"/>
          <w:b/>
          <w:bCs/>
          <w:sz w:val="24"/>
          <w:szCs w:val="24"/>
          <w:lang w:val="id-ID"/>
        </w:rPr>
        <w:t>Pasal 76 E</w:t>
      </w:r>
      <w:r w:rsidRPr="008B4E16">
        <w:rPr>
          <w:rFonts w:ascii="Times New Roman" w:hAnsi="Times New Roman" w:cs="Times New Roman"/>
          <w:sz w:val="24"/>
          <w:szCs w:val="24"/>
          <w:lang w:val="id-ID"/>
        </w:rPr>
        <w:t xml:space="preserve"> : Setiap Orang dilarang melakukan Kekerasan atau ancaman Kekerasan, memaksa, melakukan tipu muslihat, melakukan serangkaian kebohongan, atau membujuk Anak untuk melakukan atau membiarkan dilakukan perbuatan cabul.</w:t>
      </w:r>
    </w:p>
    <w:p w14:paraId="49F3C9E5" w14:textId="670015AD" w:rsidR="008B4E16" w:rsidRDefault="008B4E16" w:rsidP="00CB5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9F8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UU 11 Tahun 2012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b/>
          <w:bCs/>
          <w:sz w:val="24"/>
          <w:szCs w:val="24"/>
        </w:rPr>
        <w:t>Peradilan</w:t>
      </w:r>
      <w:proofErr w:type="spellEnd"/>
      <w:r w:rsidRPr="004D39F8">
        <w:rPr>
          <w:rFonts w:ascii="Times New Roman" w:hAnsi="Times New Roman" w:cs="Times New Roman"/>
          <w:b/>
          <w:bCs/>
          <w:sz w:val="24"/>
          <w:szCs w:val="24"/>
        </w:rPr>
        <w:t xml:space="preserve"> Anak (SPPA)</w:t>
      </w:r>
    </w:p>
    <w:p w14:paraId="07769C8B" w14:textId="6E93090C" w:rsidR="004D39F8" w:rsidRDefault="004D39F8" w:rsidP="00CB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perampasan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(vide Pasal 1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1 dan Pasal 2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F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4D39F8">
        <w:rPr>
          <w:rFonts w:ascii="Times New Roman" w:hAnsi="Times New Roman" w:cs="Times New Roman"/>
          <w:sz w:val="24"/>
          <w:szCs w:val="24"/>
        </w:rPr>
        <w:t xml:space="preserve"> Anak.</w:t>
      </w:r>
    </w:p>
    <w:p w14:paraId="50CD44D6" w14:textId="2388CC05" w:rsidR="0065482E" w:rsidRDefault="0065482E" w:rsidP="00CB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r w:rsidRPr="0065482E">
        <w:rPr>
          <w:rFonts w:ascii="Times New Roman" w:hAnsi="Times New Roman" w:cs="Times New Roman"/>
          <w:b/>
          <w:bCs/>
          <w:sz w:val="24"/>
          <w:szCs w:val="24"/>
        </w:rPr>
        <w:t>Anak</w:t>
      </w:r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167C84FF" w14:textId="77777777" w:rsidR="0065482E" w:rsidRP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Anak yang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berkonflik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06E84E" w14:textId="77777777" w:rsidR="0065482E" w:rsidRP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Anak yang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korban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18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mental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0ABE9F" w14:textId="77777777" w:rsidR="0065482E" w:rsidRP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Anak yang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saksi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18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7AD74F20" w14:textId="1D3F9BC7" w:rsid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sebelum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genap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18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(Pasal 20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Undang-Undang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RI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Nomor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11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2012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Anak).</w:t>
      </w:r>
    </w:p>
    <w:p w14:paraId="170D5E16" w14:textId="65CC1483" w:rsid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belum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menyerahkanan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sertakannya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kesejateraan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(Pasal 21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Anak jo, Pasal 67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Diversi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Anak yang Belum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12 (Dua Belas)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).</w:t>
      </w:r>
    </w:p>
    <w:p w14:paraId="6CB2A61E" w14:textId="77777777" w:rsidR="0065482E" w:rsidRDefault="0065482E" w:rsidP="00D62B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8029" w14:textId="3009903D" w:rsid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Pihak-pihak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terlibat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yakni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Umum, Hakim,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Pekerja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Sosial.</w:t>
      </w:r>
    </w:p>
    <w:p w14:paraId="0E5B4A93" w14:textId="77777777" w:rsidR="0065482E" w:rsidRPr="0065482E" w:rsidRDefault="0065482E" w:rsidP="006548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Anak;</w:t>
      </w:r>
    </w:p>
    <w:p w14:paraId="1D2D272E" w14:textId="77777777" w:rsidR="0065482E" w:rsidRPr="0065482E" w:rsidRDefault="0065482E" w:rsidP="006548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 Anak;</w:t>
      </w:r>
    </w:p>
    <w:p w14:paraId="037FDAA4" w14:textId="77777777" w:rsidR="0065482E" w:rsidRPr="0065482E" w:rsidRDefault="0065482E" w:rsidP="006548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Hakim Anak;</w:t>
      </w:r>
    </w:p>
    <w:p w14:paraId="7DBB7A14" w14:textId="77777777" w:rsidR="0065482E" w:rsidRPr="0065482E" w:rsidRDefault="0065482E" w:rsidP="006548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25630704" w14:textId="0B2AA2FD" w:rsidR="0065482E" w:rsidRDefault="0065482E" w:rsidP="006548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lastRenderedPageBreak/>
        <w:t>Pekerja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6310E50A" w14:textId="77777777" w:rsidR="0065482E" w:rsidRPr="0065482E" w:rsidRDefault="0065482E" w:rsidP="0065482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Penyidikan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Penuntutan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Anak</w:t>
      </w:r>
    </w:p>
    <w:p w14:paraId="1A2FA081" w14:textId="77777777" w:rsidR="0065482E" w:rsidRPr="0065482E" w:rsidRDefault="0065482E" w:rsidP="006548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Keputusan Jaksa Agung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Jaksa Agung. Dalam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penyelidiikan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diadukan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Balai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paling lama 3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37A15A01" w14:textId="77777777" w:rsidR="0065482E" w:rsidRDefault="0065482E" w:rsidP="0065482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kesejahtaraan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2D2F9C" w14:textId="6A6ECC52" w:rsidR="0065482E" w:rsidRPr="0065482E" w:rsidRDefault="0065482E" w:rsidP="0065482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(ABH)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diupayakan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diversi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508836BB" w14:textId="77777777" w:rsidR="0065482E" w:rsidRPr="0065482E" w:rsidRDefault="0065482E" w:rsidP="006548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2BA3">
        <w:rPr>
          <w:rFonts w:ascii="Times New Roman" w:hAnsi="Times New Roman" w:cs="Times New Roman"/>
          <w:b/>
          <w:bCs/>
          <w:sz w:val="24"/>
          <w:szCs w:val="24"/>
        </w:rPr>
        <w:t>Diversi</w:t>
      </w:r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:</w:t>
      </w:r>
    </w:p>
    <w:p w14:paraId="14A89394" w14:textId="6B22FF5B" w:rsidR="0065482E" w:rsidRPr="0065482E" w:rsidRDefault="0065482E" w:rsidP="0065482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223260F8" w14:textId="46BE9CB7" w:rsidR="0065482E" w:rsidRPr="0065482E" w:rsidRDefault="0065482E" w:rsidP="0065482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01BED986" w14:textId="78126C87" w:rsidR="0065482E" w:rsidRPr="0065482E" w:rsidRDefault="0065482E" w:rsidP="006548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didakwa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didakwa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dakwaan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subsidiaritas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 (Pasal 7 PERMA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Diversi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Anak)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B8B7A" w14:textId="77777777" w:rsidR="0065482E" w:rsidRPr="0065482E" w:rsidRDefault="0065482E" w:rsidP="006548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Diversi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bertujuan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1277B9" w14:textId="77777777" w:rsidR="0065482E" w:rsidRPr="0065482E" w:rsidRDefault="0065482E" w:rsidP="0065482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65482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anatara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4887F216" w14:textId="77777777" w:rsidR="0065482E" w:rsidRPr="0065482E" w:rsidRDefault="0065482E" w:rsidP="0065482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>•</w:t>
      </w:r>
      <w:r w:rsidRPr="006548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225F15D4" w14:textId="77777777" w:rsidR="0065482E" w:rsidRPr="0065482E" w:rsidRDefault="0065482E" w:rsidP="0065482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>•</w:t>
      </w:r>
      <w:r w:rsidRPr="006548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perampasan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34D525B5" w14:textId="1DB6F431" w:rsidR="0065482E" w:rsidRPr="0065482E" w:rsidRDefault="0065482E" w:rsidP="0065482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>•</w:t>
      </w:r>
      <w:r w:rsidRPr="006548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7014535D" w14:textId="5D76480D" w:rsidR="0065482E" w:rsidRPr="0065482E" w:rsidRDefault="0065482E" w:rsidP="0065482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>•</w:t>
      </w:r>
      <w:r w:rsidRPr="006548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5482E">
        <w:rPr>
          <w:rFonts w:ascii="Times New Roman" w:hAnsi="Times New Roman" w:cs="Times New Roman"/>
          <w:sz w:val="24"/>
          <w:szCs w:val="24"/>
        </w:rPr>
        <w:t>enanamkan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78B395FF" w14:textId="77777777" w:rsidR="0065482E" w:rsidRDefault="0065482E" w:rsidP="006548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F02FB" w14:textId="201C4C9B" w:rsidR="0065482E" w:rsidRPr="0065482E" w:rsidRDefault="0065482E" w:rsidP="0065482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t xml:space="preserve">Dalam proses Diversi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pihak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dilibatkan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korban,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restorative justice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mengadung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penyelesain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korban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36F946ED" w14:textId="75A30050" w:rsidR="0065482E" w:rsidRPr="0065482E" w:rsidRDefault="0065482E" w:rsidP="0065482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82E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keikut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sertaan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dilembaga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LPKS,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. Dalam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hal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kesepakatan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tercapai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penghentian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penghentian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penghentian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menindaklanjuti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1422CDBD" w14:textId="77777777" w:rsidR="0065482E" w:rsidRPr="0065482E" w:rsidRDefault="0065482E" w:rsidP="006548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65482E">
        <w:rPr>
          <w:rFonts w:ascii="Times New Roman" w:hAnsi="Times New Roman" w:cs="Times New Roman"/>
          <w:b/>
          <w:bCs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b/>
          <w:bCs/>
          <w:sz w:val="24"/>
          <w:szCs w:val="24"/>
        </w:rPr>
        <w:t xml:space="preserve"> Anak</w:t>
      </w:r>
    </w:p>
    <w:p w14:paraId="163B84C2" w14:textId="77777777" w:rsidR="0065482E" w:rsidRPr="0065482E" w:rsidRDefault="0065482E" w:rsidP="0065482E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(Pasal 22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Anak),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didampingi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0460C9B1" w14:textId="77777777" w:rsidR="0065482E" w:rsidRPr="00D62BA3" w:rsidRDefault="0065482E" w:rsidP="00D62B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penahanan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(Pasal 32 UU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Anak)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:</w:t>
      </w:r>
    </w:p>
    <w:p w14:paraId="01F0DC96" w14:textId="77777777" w:rsidR="00D62BA3" w:rsidRDefault="0065482E" w:rsidP="00D62BA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melarikan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mengulangi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;</w:t>
      </w:r>
    </w:p>
    <w:p w14:paraId="5777DD31" w14:textId="77777777" w:rsidR="00D62BA3" w:rsidRDefault="0065482E" w:rsidP="00D62BA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Penahananan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:</w:t>
      </w:r>
    </w:p>
    <w:p w14:paraId="46DF6511" w14:textId="77777777" w:rsidR="00D62BA3" w:rsidRDefault="0065482E" w:rsidP="00D62BA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14 (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;</w:t>
      </w:r>
    </w:p>
    <w:p w14:paraId="268DF664" w14:textId="1C676D78" w:rsidR="0065482E" w:rsidRPr="00D62BA3" w:rsidRDefault="0065482E" w:rsidP="00D62BA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2F322E40" w14:textId="77777777" w:rsidR="0065482E" w:rsidRPr="00D62BA3" w:rsidRDefault="0065482E" w:rsidP="00D62B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Penahanan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terdakwa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}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:</w:t>
      </w:r>
    </w:p>
    <w:p w14:paraId="33251183" w14:textId="54CE42FD" w:rsidR="0065482E" w:rsidRPr="0065482E" w:rsidRDefault="0065482E" w:rsidP="00D62BA3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paling lama 7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terdakwa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301D9446" w14:textId="6E422CB9" w:rsidR="0065482E" w:rsidRPr="0065482E" w:rsidRDefault="0065482E" w:rsidP="00D62BA3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Umum, paling lama 5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Hakim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terdakwa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20 Hari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79CE186B" w14:textId="7BBA9663" w:rsidR="0065482E" w:rsidRPr="0065482E" w:rsidRDefault="0065482E" w:rsidP="00D62BA3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PN,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terdakwa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728BBCA6" w14:textId="0A86E47C" w:rsidR="0065482E" w:rsidRPr="00D62BA3" w:rsidRDefault="0065482E" w:rsidP="00D62B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pemeriksaan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sidang</w:t>
      </w:r>
      <w:proofErr w:type="spellEnd"/>
      <w:r w:rsidRPr="00D62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b/>
          <w:bCs/>
          <w:sz w:val="24"/>
          <w:szCs w:val="24"/>
        </w:rPr>
        <w:t>pengadilan</w:t>
      </w:r>
      <w:proofErr w:type="spellEnd"/>
    </w:p>
    <w:p w14:paraId="75D12F34" w14:textId="77777777" w:rsidR="0065482E" w:rsidRPr="00D62BA3" w:rsidRDefault="0065482E" w:rsidP="00D62BA3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pembuktiannya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. Hakim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peroses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persidangan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(Pasal 55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Anak) Hakim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lastRenderedPageBreak/>
        <w:t>bantuan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proofErr w:type="gramStart"/>
      <w:r w:rsidRPr="00D62BA3">
        <w:rPr>
          <w:rFonts w:ascii="Times New Roman" w:hAnsi="Times New Roman" w:cs="Times New Roman"/>
          <w:sz w:val="24"/>
          <w:szCs w:val="24"/>
        </w:rPr>
        <w:t>tua,wali</w:t>
      </w:r>
      <w:proofErr w:type="spellEnd"/>
      <w:proofErr w:type="gram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didampingi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kemsyarakatan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2DB81F69" w14:textId="77777777" w:rsidR="00D62BA3" w:rsidRDefault="00D62BA3" w:rsidP="00D62BA3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482E" w:rsidRPr="00D62BA3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, hakim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(Pasal 58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R.I.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Anak). Dalam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, hakim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keterangannya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persidangan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Penun</w:t>
      </w:r>
      <w:r w:rsidR="0065482E" w:rsidRPr="00D62BA3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Umum dan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teleconference (Pasal 58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82E"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65482E" w:rsidRPr="00D62BA3">
        <w:rPr>
          <w:rFonts w:ascii="Times New Roman" w:hAnsi="Times New Roman" w:cs="Times New Roman"/>
          <w:sz w:val="24"/>
          <w:szCs w:val="24"/>
        </w:rPr>
        <w:t xml:space="preserve"> Anak).</w:t>
      </w:r>
    </w:p>
    <w:p w14:paraId="3FE6B297" w14:textId="288A9288" w:rsidR="00D62BA3" w:rsidRDefault="0065482E" w:rsidP="00D62BA3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62BA3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/</w:t>
      </w:r>
      <w:r w:rsid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/</w:t>
      </w:r>
      <w:r w:rsid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1D9640AF" w14:textId="77777777" w:rsidR="00D62BA3" w:rsidRDefault="0065482E" w:rsidP="00D62BA3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dijatuhi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6F7DBDB7" w14:textId="25DCAAEE" w:rsidR="0065482E" w:rsidRPr="00D62BA3" w:rsidRDefault="0065482E" w:rsidP="00D62BA3">
      <w:pPr>
        <w:spacing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di Lembaga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Sosial (LPKS),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pencabutan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Mengemudi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dijatuhi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macam</w:t>
      </w:r>
      <w:r w:rsidRPr="00CD6262">
        <w:rPr>
          <w:rFonts w:ascii="Times New Roman" w:hAnsi="Times New Roman" w:cs="Times New Roman"/>
          <w:b/>
          <w:bCs/>
          <w:sz w:val="24"/>
          <w:szCs w:val="24"/>
        </w:rPr>
        <w:t>-macam</w:t>
      </w:r>
      <w:proofErr w:type="spellEnd"/>
      <w:r w:rsidRPr="00CD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Pasal 71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:</w:t>
      </w:r>
    </w:p>
    <w:p w14:paraId="712491A1" w14:textId="77777777" w:rsidR="00CD6262" w:rsidRDefault="0065482E" w:rsidP="00D62BA3">
      <w:pPr>
        <w:pStyle w:val="ListParagraph"/>
        <w:numPr>
          <w:ilvl w:val="1"/>
          <w:numId w:val="1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4C5D4" w14:textId="77777777" w:rsidR="00CD6262" w:rsidRDefault="0065482E" w:rsidP="00CD6262">
      <w:pPr>
        <w:pStyle w:val="ListParagraph"/>
        <w:numPr>
          <w:ilvl w:val="0"/>
          <w:numId w:val="28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826CBC" w14:textId="77777777" w:rsidR="00CD6262" w:rsidRDefault="0065482E" w:rsidP="00CD6262">
      <w:pPr>
        <w:pStyle w:val="ListParagraph"/>
        <w:numPr>
          <w:ilvl w:val="0"/>
          <w:numId w:val="28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bersyarat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0A62FF1" w14:textId="77777777" w:rsidR="00CD6262" w:rsidRDefault="0065482E" w:rsidP="00CD6262">
      <w:pPr>
        <w:pStyle w:val="ListParagraph"/>
        <w:numPr>
          <w:ilvl w:val="0"/>
          <w:numId w:val="28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E3FA09" w14:textId="2CB6ECC6" w:rsidR="0065482E" w:rsidRPr="0065482E" w:rsidRDefault="0065482E" w:rsidP="00CD6262">
      <w:pPr>
        <w:pStyle w:val="ListParagraph"/>
        <w:numPr>
          <w:ilvl w:val="0"/>
          <w:numId w:val="28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;</w:t>
      </w:r>
    </w:p>
    <w:p w14:paraId="4773B371" w14:textId="77777777" w:rsidR="00D62BA3" w:rsidRDefault="0065482E" w:rsidP="00D62BA3">
      <w:pPr>
        <w:pStyle w:val="ListParagraph"/>
        <w:numPr>
          <w:ilvl w:val="1"/>
          <w:numId w:val="1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perampasan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82E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65482E">
        <w:rPr>
          <w:rFonts w:ascii="Times New Roman" w:hAnsi="Times New Roman" w:cs="Times New Roman"/>
          <w:sz w:val="24"/>
          <w:szCs w:val="24"/>
        </w:rPr>
        <w:t>.</w:t>
      </w:r>
    </w:p>
    <w:p w14:paraId="63EE6143" w14:textId="77777777" w:rsidR="00D62BA3" w:rsidRDefault="0065482E" w:rsidP="00D62BA3">
      <w:pPr>
        <w:spacing w:line="360" w:lineRule="auto"/>
        <w:ind w:firstLine="5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paling lama 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paling lama ½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maksimun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diancamkan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(Pasal 79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Anak),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(Pasal 79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Anak).</w:t>
      </w:r>
    </w:p>
    <w:p w14:paraId="4E70BEB7" w14:textId="77777777" w:rsidR="00D62BA3" w:rsidRDefault="0065482E" w:rsidP="00D62BA3">
      <w:pPr>
        <w:spacing w:line="360" w:lineRule="auto"/>
        <w:ind w:firstLine="5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Penahanan</w:t>
      </w:r>
      <w:proofErr w:type="spellEnd"/>
      <w:r w:rsidRPr="00CD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CD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CD6262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t>berkonflik</w:t>
      </w:r>
      <w:proofErr w:type="spellEnd"/>
      <w:r w:rsidRPr="00CD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262">
        <w:rPr>
          <w:rFonts w:ascii="Times New Roman" w:hAnsi="Times New Roman" w:cs="Times New Roman"/>
          <w:b/>
          <w:bCs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pada Lembaga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(LPAS),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pada Lembaga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Anak (LPKA).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pada Lembaga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Sosial (LPKS).</w:t>
      </w:r>
    </w:p>
    <w:p w14:paraId="280DB097" w14:textId="77777777" w:rsidR="00D62BA3" w:rsidRDefault="0065482E" w:rsidP="00D62BA3">
      <w:pPr>
        <w:spacing w:line="360" w:lineRule="auto"/>
        <w:ind w:firstLine="5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Hakim pada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mapun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Umum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banding,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kasasi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4B752D6C" w14:textId="0289D306" w:rsidR="00D62BA3" w:rsidRDefault="0065482E" w:rsidP="00CD6262">
      <w:pPr>
        <w:spacing w:line="360" w:lineRule="auto"/>
        <w:ind w:firstLine="5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1E6343DA" w14:textId="1D4A6E46" w:rsidR="0065482E" w:rsidRPr="00D62BA3" w:rsidRDefault="0065482E" w:rsidP="00D62B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A3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Pr="00D62B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A3"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 w:rsidRPr="00D62BA3">
        <w:rPr>
          <w:rFonts w:ascii="Times New Roman" w:hAnsi="Times New Roman" w:cs="Times New Roman"/>
          <w:sz w:val="24"/>
          <w:szCs w:val="24"/>
        </w:rPr>
        <w:t>.</w:t>
      </w:r>
    </w:p>
    <w:p w14:paraId="4E2B9E31" w14:textId="77777777" w:rsidR="00181E70" w:rsidRPr="004D39F8" w:rsidRDefault="00181E70" w:rsidP="00CB55A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181E70" w:rsidRPr="004D39F8" w:rsidSect="004D39F8">
      <w:pgSz w:w="12240" w:h="18720" w:code="14"/>
      <w:pgMar w:top="499" w:right="1021" w:bottom="1202" w:left="11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66A"/>
    <w:multiLevelType w:val="multilevel"/>
    <w:tmpl w:val="CE8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C19AF"/>
    <w:multiLevelType w:val="hybridMultilevel"/>
    <w:tmpl w:val="F90AB7EE"/>
    <w:lvl w:ilvl="0" w:tplc="AF3E9208">
      <w:start w:val="1"/>
      <w:numFmt w:val="decimal"/>
      <w:lvlText w:val="%1."/>
      <w:lvlJc w:val="left"/>
      <w:pPr>
        <w:ind w:left="20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42D6AE5"/>
    <w:multiLevelType w:val="hybridMultilevel"/>
    <w:tmpl w:val="3EC8FAA2"/>
    <w:lvl w:ilvl="0" w:tplc="C518D836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593"/>
    <w:multiLevelType w:val="hybridMultilevel"/>
    <w:tmpl w:val="F7401BC6"/>
    <w:lvl w:ilvl="0" w:tplc="1A64C7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F61"/>
    <w:multiLevelType w:val="hybridMultilevel"/>
    <w:tmpl w:val="0E08919C"/>
    <w:lvl w:ilvl="0" w:tplc="7FD0BC8E">
      <w:start w:val="1"/>
      <w:numFmt w:val="decimal"/>
      <w:lvlText w:val="%1."/>
      <w:lvlJc w:val="left"/>
      <w:pPr>
        <w:ind w:left="244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34E59DE"/>
    <w:multiLevelType w:val="hybridMultilevel"/>
    <w:tmpl w:val="E068AC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07A8"/>
    <w:multiLevelType w:val="hybridMultilevel"/>
    <w:tmpl w:val="46361C70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01B7"/>
    <w:multiLevelType w:val="hybridMultilevel"/>
    <w:tmpl w:val="CA500D9C"/>
    <w:lvl w:ilvl="0" w:tplc="C518D836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33189"/>
    <w:multiLevelType w:val="hybridMultilevel"/>
    <w:tmpl w:val="A35A6184"/>
    <w:lvl w:ilvl="0" w:tplc="C518D836">
      <w:numFmt w:val="bullet"/>
      <w:lvlText w:val="•"/>
      <w:lvlJc w:val="left"/>
      <w:pPr>
        <w:ind w:left="1004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024B88"/>
    <w:multiLevelType w:val="multilevel"/>
    <w:tmpl w:val="E8E2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91A9B"/>
    <w:multiLevelType w:val="hybridMultilevel"/>
    <w:tmpl w:val="B92A1ED2"/>
    <w:lvl w:ilvl="0" w:tplc="1A64C7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6986"/>
    <w:multiLevelType w:val="hybridMultilevel"/>
    <w:tmpl w:val="34FAEA14"/>
    <w:lvl w:ilvl="0" w:tplc="B68A84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301D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869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A9C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0A7E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86B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0DD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63A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A0D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CD0"/>
    <w:multiLevelType w:val="hybridMultilevel"/>
    <w:tmpl w:val="3424B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0234"/>
    <w:multiLevelType w:val="hybridMultilevel"/>
    <w:tmpl w:val="B688EE3E"/>
    <w:lvl w:ilvl="0" w:tplc="AF3E92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5F3"/>
    <w:multiLevelType w:val="hybridMultilevel"/>
    <w:tmpl w:val="FE22F68C"/>
    <w:lvl w:ilvl="0" w:tplc="1A64C7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1F6"/>
    <w:multiLevelType w:val="hybridMultilevel"/>
    <w:tmpl w:val="CB366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7BF3"/>
    <w:multiLevelType w:val="hybridMultilevel"/>
    <w:tmpl w:val="CAD84EC4"/>
    <w:lvl w:ilvl="0" w:tplc="586A39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EF05A4"/>
    <w:multiLevelType w:val="hybridMultilevel"/>
    <w:tmpl w:val="019659FA"/>
    <w:lvl w:ilvl="0" w:tplc="C518D836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4471"/>
    <w:multiLevelType w:val="hybridMultilevel"/>
    <w:tmpl w:val="323444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7C1CF1"/>
    <w:multiLevelType w:val="hybridMultilevel"/>
    <w:tmpl w:val="5AA4BA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A64C7F6">
      <w:start w:val="1"/>
      <w:numFmt w:val="decimal"/>
      <w:lvlText w:val="(%2)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56D2D"/>
    <w:multiLevelType w:val="hybridMultilevel"/>
    <w:tmpl w:val="71DA417C"/>
    <w:lvl w:ilvl="0" w:tplc="17A463E4">
      <w:start w:val="1"/>
      <w:numFmt w:val="decimal"/>
      <w:lvlText w:val="(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205244"/>
    <w:multiLevelType w:val="hybridMultilevel"/>
    <w:tmpl w:val="7A5A5B84"/>
    <w:lvl w:ilvl="0" w:tplc="669A9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2C38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CCB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66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E1C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C09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5F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8BE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2A52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D9A"/>
    <w:multiLevelType w:val="hybridMultilevel"/>
    <w:tmpl w:val="D0BEB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A1E235C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54CB"/>
    <w:multiLevelType w:val="hybridMultilevel"/>
    <w:tmpl w:val="DF3CA836"/>
    <w:lvl w:ilvl="0" w:tplc="FFFFFFFF">
      <w:start w:val="1"/>
      <w:numFmt w:val="decimal"/>
      <w:lvlText w:val="(%1)"/>
      <w:lvlJc w:val="left"/>
      <w:pPr>
        <w:ind w:left="1004" w:hanging="360"/>
      </w:pPr>
    </w:lvl>
    <w:lvl w:ilvl="1" w:tplc="1A64C7F6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6C75908"/>
    <w:multiLevelType w:val="hybridMultilevel"/>
    <w:tmpl w:val="41327040"/>
    <w:lvl w:ilvl="0" w:tplc="7FD0BC8E">
      <w:start w:val="1"/>
      <w:numFmt w:val="decimal"/>
      <w:lvlText w:val="%1."/>
      <w:lvlJc w:val="left"/>
      <w:pPr>
        <w:ind w:left="1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790663E"/>
    <w:multiLevelType w:val="hybridMultilevel"/>
    <w:tmpl w:val="300472F4"/>
    <w:lvl w:ilvl="0" w:tplc="C518D836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0602C"/>
    <w:multiLevelType w:val="hybridMultilevel"/>
    <w:tmpl w:val="8E9A3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247D4"/>
    <w:multiLevelType w:val="hybridMultilevel"/>
    <w:tmpl w:val="C93E0876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33298E"/>
    <w:multiLevelType w:val="hybridMultilevel"/>
    <w:tmpl w:val="B12C52B4"/>
    <w:lvl w:ilvl="0" w:tplc="17A463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7A72DB8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820896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47A773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FAA173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9EE08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1C52FB8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74C3F9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9CED52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3D0D1E"/>
    <w:multiLevelType w:val="multilevel"/>
    <w:tmpl w:val="D5DA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50F91"/>
    <w:multiLevelType w:val="multilevel"/>
    <w:tmpl w:val="A46C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46B32"/>
    <w:multiLevelType w:val="multilevel"/>
    <w:tmpl w:val="336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0714D"/>
    <w:multiLevelType w:val="hybridMultilevel"/>
    <w:tmpl w:val="C3BA402A"/>
    <w:lvl w:ilvl="0" w:tplc="0BCCD8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E66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E1D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0CF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27F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644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694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F8D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85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F39ED"/>
    <w:multiLevelType w:val="hybridMultilevel"/>
    <w:tmpl w:val="F60A6DF8"/>
    <w:lvl w:ilvl="0" w:tplc="27AC61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7ED2"/>
    <w:multiLevelType w:val="hybridMultilevel"/>
    <w:tmpl w:val="1C38ED96"/>
    <w:lvl w:ilvl="0" w:tplc="586A39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6811A5"/>
    <w:multiLevelType w:val="multilevel"/>
    <w:tmpl w:val="4430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66782"/>
    <w:multiLevelType w:val="hybridMultilevel"/>
    <w:tmpl w:val="80CEF836"/>
    <w:lvl w:ilvl="0" w:tplc="C518D836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252"/>
    <w:multiLevelType w:val="hybridMultilevel"/>
    <w:tmpl w:val="1D1E62A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56369">
    <w:abstractNumId w:val="32"/>
  </w:num>
  <w:num w:numId="2" w16cid:durableId="1736276633">
    <w:abstractNumId w:val="6"/>
  </w:num>
  <w:num w:numId="3" w16cid:durableId="1780029448">
    <w:abstractNumId w:val="21"/>
  </w:num>
  <w:num w:numId="4" w16cid:durableId="1915239260">
    <w:abstractNumId w:val="11"/>
  </w:num>
  <w:num w:numId="5" w16cid:durableId="258370723">
    <w:abstractNumId w:val="37"/>
  </w:num>
  <w:num w:numId="6" w16cid:durableId="121929239">
    <w:abstractNumId w:val="34"/>
  </w:num>
  <w:num w:numId="7" w16cid:durableId="273639790">
    <w:abstractNumId w:val="27"/>
  </w:num>
  <w:num w:numId="8" w16cid:durableId="674117515">
    <w:abstractNumId w:val="5"/>
  </w:num>
  <w:num w:numId="9" w16cid:durableId="2093772097">
    <w:abstractNumId w:val="8"/>
  </w:num>
  <w:num w:numId="10" w16cid:durableId="1005211454">
    <w:abstractNumId w:val="16"/>
  </w:num>
  <w:num w:numId="11" w16cid:durableId="1898513692">
    <w:abstractNumId w:val="15"/>
  </w:num>
  <w:num w:numId="12" w16cid:durableId="135071829">
    <w:abstractNumId w:val="26"/>
  </w:num>
  <w:num w:numId="13" w16cid:durableId="1650476401">
    <w:abstractNumId w:val="22"/>
  </w:num>
  <w:num w:numId="14" w16cid:durableId="101998749">
    <w:abstractNumId w:val="19"/>
  </w:num>
  <w:num w:numId="15" w16cid:durableId="1799491995">
    <w:abstractNumId w:val="33"/>
  </w:num>
  <w:num w:numId="16" w16cid:durableId="833104083">
    <w:abstractNumId w:val="28"/>
  </w:num>
  <w:num w:numId="17" w16cid:durableId="1396513561">
    <w:abstractNumId w:val="20"/>
  </w:num>
  <w:num w:numId="18" w16cid:durableId="1055081946">
    <w:abstractNumId w:val="23"/>
  </w:num>
  <w:num w:numId="19" w16cid:durableId="1377074682">
    <w:abstractNumId w:val="10"/>
  </w:num>
  <w:num w:numId="20" w16cid:durableId="1097403052">
    <w:abstractNumId w:val="12"/>
  </w:num>
  <w:num w:numId="21" w16cid:durableId="1036346080">
    <w:abstractNumId w:val="14"/>
  </w:num>
  <w:num w:numId="22" w16cid:durableId="1809588558">
    <w:abstractNumId w:val="35"/>
  </w:num>
  <w:num w:numId="23" w16cid:durableId="523832213">
    <w:abstractNumId w:val="30"/>
  </w:num>
  <w:num w:numId="24" w16cid:durableId="1286085589">
    <w:abstractNumId w:val="0"/>
  </w:num>
  <w:num w:numId="25" w16cid:durableId="1599486665">
    <w:abstractNumId w:val="29"/>
  </w:num>
  <w:num w:numId="26" w16cid:durableId="2004360000">
    <w:abstractNumId w:val="31"/>
  </w:num>
  <w:num w:numId="27" w16cid:durableId="682250020">
    <w:abstractNumId w:val="9"/>
  </w:num>
  <w:num w:numId="28" w16cid:durableId="1632006893">
    <w:abstractNumId w:val="17"/>
  </w:num>
  <w:num w:numId="29" w16cid:durableId="211037942">
    <w:abstractNumId w:val="25"/>
  </w:num>
  <w:num w:numId="30" w16cid:durableId="2142183138">
    <w:abstractNumId w:val="3"/>
  </w:num>
  <w:num w:numId="31" w16cid:durableId="252319330">
    <w:abstractNumId w:val="13"/>
  </w:num>
  <w:num w:numId="32" w16cid:durableId="520583245">
    <w:abstractNumId w:val="2"/>
  </w:num>
  <w:num w:numId="33" w16cid:durableId="1473912433">
    <w:abstractNumId w:val="36"/>
  </w:num>
  <w:num w:numId="34" w16cid:durableId="1092552455">
    <w:abstractNumId w:val="18"/>
  </w:num>
  <w:num w:numId="35" w16cid:durableId="167985066">
    <w:abstractNumId w:val="7"/>
  </w:num>
  <w:num w:numId="36" w16cid:durableId="852644986">
    <w:abstractNumId w:val="1"/>
  </w:num>
  <w:num w:numId="37" w16cid:durableId="1218666543">
    <w:abstractNumId w:val="24"/>
  </w:num>
  <w:num w:numId="38" w16cid:durableId="685516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0F"/>
    <w:rsid w:val="00154FF3"/>
    <w:rsid w:val="00181E70"/>
    <w:rsid w:val="00216245"/>
    <w:rsid w:val="002E60BD"/>
    <w:rsid w:val="002F3F4F"/>
    <w:rsid w:val="004732C5"/>
    <w:rsid w:val="004D39F8"/>
    <w:rsid w:val="00610C0C"/>
    <w:rsid w:val="0065482E"/>
    <w:rsid w:val="00663F73"/>
    <w:rsid w:val="0073343A"/>
    <w:rsid w:val="00790B79"/>
    <w:rsid w:val="008B4E16"/>
    <w:rsid w:val="008E10D8"/>
    <w:rsid w:val="00A31CA4"/>
    <w:rsid w:val="00A47FC7"/>
    <w:rsid w:val="00AD5865"/>
    <w:rsid w:val="00CB55A6"/>
    <w:rsid w:val="00CD6262"/>
    <w:rsid w:val="00D32D0F"/>
    <w:rsid w:val="00D62BA3"/>
    <w:rsid w:val="00D67E9A"/>
    <w:rsid w:val="00DB6C5F"/>
    <w:rsid w:val="00E03AFE"/>
    <w:rsid w:val="00F65C8B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AC22"/>
  <w15:chartTrackingRefBased/>
  <w15:docId w15:val="{7E7DBDFD-A5B7-4B62-A945-E8D485A2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F73"/>
    <w:rPr>
      <w:b/>
      <w:bCs/>
    </w:rPr>
  </w:style>
  <w:style w:type="character" w:styleId="Emphasis">
    <w:name w:val="Emphasis"/>
    <w:basedOn w:val="DefaultParagraphFont"/>
    <w:uiPriority w:val="20"/>
    <w:qFormat/>
    <w:rsid w:val="00663F7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4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3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KN TUAL</dc:creator>
  <cp:keywords/>
  <dc:description/>
  <cp:lastModifiedBy>danu purnomo</cp:lastModifiedBy>
  <cp:revision>5</cp:revision>
  <cp:lastPrinted>2024-07-11T08:54:00Z</cp:lastPrinted>
  <dcterms:created xsi:type="dcterms:W3CDTF">2024-07-10T00:58:00Z</dcterms:created>
  <dcterms:modified xsi:type="dcterms:W3CDTF">2024-07-11T08:56:00Z</dcterms:modified>
</cp:coreProperties>
</file>